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F8347" w14:textId="1F4551B8" w:rsidR="002D0E74" w:rsidRPr="000C223B" w:rsidRDefault="00132F4A" w:rsidP="000C223B">
      <w:pPr>
        <w:spacing w:line="480" w:lineRule="auto"/>
        <w:ind w:left="142"/>
        <w:jc w:val="both"/>
        <w:rPr>
          <w:rFonts w:ascii="Arial" w:hAnsi="Arial" w:cs="Arial"/>
          <w:b/>
          <w:bCs/>
          <w:u w:val="single"/>
          <w:lang w:val="en-GB"/>
        </w:rPr>
      </w:pPr>
      <w:r w:rsidRPr="000C223B">
        <w:rPr>
          <w:rFonts w:ascii="Arial" w:hAnsi="Arial" w:cs="Arial"/>
          <w:b/>
          <w:bCs/>
          <w:u w:val="single"/>
          <w:lang w:val="en-GB"/>
        </w:rPr>
        <w:t xml:space="preserve">Cyprus Tonnage Tax </w:t>
      </w:r>
      <w:r w:rsidR="00EF1141">
        <w:rPr>
          <w:rFonts w:ascii="Arial" w:hAnsi="Arial" w:cs="Arial"/>
          <w:b/>
          <w:bCs/>
          <w:u w:val="single"/>
          <w:lang w:val="en-GB"/>
        </w:rPr>
        <w:t>Scheme</w:t>
      </w:r>
      <w:r w:rsidRPr="000C223B">
        <w:rPr>
          <w:rFonts w:ascii="Arial" w:hAnsi="Arial" w:cs="Arial"/>
          <w:b/>
          <w:bCs/>
          <w:u w:val="single"/>
          <w:lang w:val="en-GB"/>
        </w:rPr>
        <w:t>: New (amendment) Cyprus Tonnage Tax Legislation: The Merchant Shipping – Fees and Taxing Provisions – Law of 2020</w:t>
      </w:r>
    </w:p>
    <w:p w14:paraId="596DD00E" w14:textId="62273C26" w:rsidR="009B39B3" w:rsidRPr="000C223B" w:rsidRDefault="009B39B3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The </w:t>
      </w:r>
      <w:r w:rsidR="00257438" w:rsidRPr="000C223B">
        <w:rPr>
          <w:rFonts w:ascii="Arial" w:hAnsi="Arial" w:cs="Arial"/>
          <w:lang w:val="en-GB"/>
        </w:rPr>
        <w:t xml:space="preserve">Cyprus tonnage tax </w:t>
      </w:r>
      <w:r w:rsidR="00BA7D56" w:rsidRPr="000C223B">
        <w:rPr>
          <w:rFonts w:ascii="Arial" w:hAnsi="Arial" w:cs="Arial"/>
          <w:lang w:val="en-GB"/>
        </w:rPr>
        <w:t>scheme</w:t>
      </w:r>
      <w:r w:rsidR="00257438" w:rsidRPr="000C223B">
        <w:rPr>
          <w:rFonts w:ascii="Arial" w:hAnsi="Arial" w:cs="Arial"/>
          <w:lang w:val="en-GB"/>
        </w:rPr>
        <w:t xml:space="preserve"> is a tax system in which the companies can opt to be taxed </w:t>
      </w:r>
      <w:proofErr w:type="gramStart"/>
      <w:r w:rsidR="00257438" w:rsidRPr="000C223B">
        <w:rPr>
          <w:rFonts w:ascii="Arial" w:hAnsi="Arial" w:cs="Arial"/>
          <w:lang w:val="en-GB"/>
        </w:rPr>
        <w:t>on the basis of</w:t>
      </w:r>
      <w:proofErr w:type="gramEnd"/>
      <w:r w:rsidR="00257438" w:rsidRPr="000C223B">
        <w:rPr>
          <w:rFonts w:ascii="Arial" w:hAnsi="Arial" w:cs="Arial"/>
          <w:lang w:val="en-GB"/>
        </w:rPr>
        <w:t xml:space="preserve"> their net tonnage (tonnage tax) rather than being taxed based on their actual profits from maritime transport activities.  The tonnage tax system in Cyprus </w:t>
      </w:r>
      <w:proofErr w:type="gramStart"/>
      <w:r w:rsidR="00257438" w:rsidRPr="000C223B">
        <w:rPr>
          <w:rFonts w:ascii="Arial" w:hAnsi="Arial" w:cs="Arial"/>
          <w:lang w:val="en-GB"/>
        </w:rPr>
        <w:t>is considered to be</w:t>
      </w:r>
      <w:proofErr w:type="gramEnd"/>
      <w:r w:rsidR="00257438" w:rsidRPr="000C223B">
        <w:rPr>
          <w:rFonts w:ascii="Arial" w:hAnsi="Arial" w:cs="Arial"/>
          <w:lang w:val="en-GB"/>
        </w:rPr>
        <w:t xml:space="preserve"> one of the </w:t>
      </w:r>
      <w:r w:rsidRPr="000C223B">
        <w:rPr>
          <w:rFonts w:ascii="Arial" w:hAnsi="Arial" w:cs="Arial"/>
          <w:lang w:val="en-GB"/>
        </w:rPr>
        <w:t xml:space="preserve">greatest advantages of the </w:t>
      </w:r>
      <w:r w:rsidR="00257438" w:rsidRPr="000C223B">
        <w:rPr>
          <w:rFonts w:ascii="Arial" w:hAnsi="Arial" w:cs="Arial"/>
          <w:lang w:val="en-GB"/>
        </w:rPr>
        <w:t>Cyprus shipping industry</w:t>
      </w:r>
      <w:r w:rsidRPr="000C223B">
        <w:rPr>
          <w:rFonts w:ascii="Arial" w:hAnsi="Arial" w:cs="Arial"/>
          <w:lang w:val="en-GB"/>
        </w:rPr>
        <w:t xml:space="preserve">. </w:t>
      </w:r>
    </w:p>
    <w:p w14:paraId="6DCCEC76" w14:textId="68502DDE" w:rsidR="009B39B3" w:rsidRPr="000C223B" w:rsidRDefault="009B39B3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The Deputy Shipping Ministry has issued a Circular which announce</w:t>
      </w:r>
      <w:r w:rsidR="00EF1141">
        <w:rPr>
          <w:rFonts w:ascii="Arial" w:hAnsi="Arial" w:cs="Arial"/>
          <w:lang w:val="en-GB"/>
        </w:rPr>
        <w:t>s</w:t>
      </w:r>
      <w:r w:rsidRPr="000C223B">
        <w:rPr>
          <w:rFonts w:ascii="Arial" w:hAnsi="Arial" w:cs="Arial"/>
          <w:lang w:val="en-GB"/>
        </w:rPr>
        <w:t xml:space="preserve"> the enactment of the Merchant Shipping (Fees and Taxing Provisions) (Amendment) Law of 2020 (Law 39(I)/2020)  (hereinafter ‘the Law of 2020’) which was published in the Official Gazette of the Republic of Cyprus. By virtue of the Law of 2020, the validity period of the </w:t>
      </w:r>
      <w:r w:rsidRPr="000C223B">
        <w:rPr>
          <w:rFonts w:ascii="Arial" w:hAnsi="Arial" w:cs="Arial"/>
          <w:lang w:val="en-GB"/>
        </w:rPr>
        <w:t>Merchant Shipping (Fees and Taxing Provisions) Law of 2010 (Law 44(I)/2010)</w:t>
      </w:r>
      <w:r w:rsidRPr="000C223B">
        <w:rPr>
          <w:rFonts w:ascii="Arial" w:hAnsi="Arial" w:cs="Arial"/>
          <w:lang w:val="en-GB"/>
        </w:rPr>
        <w:t xml:space="preserve"> (hereinafter ‘the basic Law’) has been prolonged for 10 years (by 31</w:t>
      </w:r>
      <w:r w:rsidRPr="000C223B">
        <w:rPr>
          <w:rFonts w:ascii="Arial" w:hAnsi="Arial" w:cs="Arial"/>
          <w:vertAlign w:val="superscript"/>
          <w:lang w:val="en-GB"/>
        </w:rPr>
        <w:t>st</w:t>
      </w:r>
      <w:r w:rsidRPr="000C223B">
        <w:rPr>
          <w:rFonts w:ascii="Arial" w:hAnsi="Arial" w:cs="Arial"/>
          <w:lang w:val="en-GB"/>
        </w:rPr>
        <w:t xml:space="preserve"> December 2029)</w:t>
      </w:r>
      <w:r w:rsidR="00EF1141">
        <w:rPr>
          <w:rFonts w:ascii="Arial" w:hAnsi="Arial" w:cs="Arial"/>
          <w:lang w:val="en-GB"/>
        </w:rPr>
        <w:t>.</w:t>
      </w:r>
    </w:p>
    <w:p w14:paraId="4406C04E" w14:textId="3AFE651C" w:rsidR="009B39B3" w:rsidRPr="000C223B" w:rsidRDefault="00345410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The European Commission has decided </w:t>
      </w:r>
      <w:r w:rsidR="009B39B3" w:rsidRPr="000C223B">
        <w:rPr>
          <w:rFonts w:ascii="Arial" w:hAnsi="Arial" w:cs="Arial"/>
          <w:lang w:val="en-GB"/>
        </w:rPr>
        <w:t xml:space="preserve">the above prolongment of the Cyprus tonnage tax </w:t>
      </w:r>
      <w:r w:rsidR="00BA7D56" w:rsidRPr="000C223B">
        <w:rPr>
          <w:rFonts w:ascii="Arial" w:hAnsi="Arial" w:cs="Arial"/>
          <w:lang w:val="en-GB"/>
        </w:rPr>
        <w:t xml:space="preserve">scheme </w:t>
      </w:r>
      <w:r w:rsidRPr="000C223B">
        <w:rPr>
          <w:rFonts w:ascii="Arial" w:hAnsi="Arial" w:cs="Arial"/>
          <w:lang w:val="en-GB"/>
        </w:rPr>
        <w:t xml:space="preserve">on 16 December 2019 </w:t>
      </w:r>
      <w:r w:rsidR="00257438" w:rsidRPr="000C223B">
        <w:rPr>
          <w:rFonts w:ascii="Arial" w:hAnsi="Arial" w:cs="Arial"/>
          <w:lang w:val="en-GB"/>
        </w:rPr>
        <w:t xml:space="preserve">as it </w:t>
      </w:r>
      <w:r w:rsidR="009B39B3" w:rsidRPr="000C223B">
        <w:rPr>
          <w:rFonts w:ascii="Arial" w:hAnsi="Arial" w:cs="Arial"/>
          <w:lang w:val="en-GB"/>
        </w:rPr>
        <w:t>was decided that the system is</w:t>
      </w:r>
      <w:r w:rsidR="00257438" w:rsidRPr="000C223B">
        <w:rPr>
          <w:rFonts w:ascii="Arial" w:hAnsi="Arial" w:cs="Arial"/>
          <w:lang w:val="en-GB"/>
        </w:rPr>
        <w:t xml:space="preserve"> in line with the EU policy and Community Guidelines on State to aid maritime transport. </w:t>
      </w:r>
    </w:p>
    <w:p w14:paraId="3CABD057" w14:textId="7E829672" w:rsidR="009B39B3" w:rsidRPr="000C223B" w:rsidRDefault="00BA7D56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The above-mentioned decision </w:t>
      </w:r>
      <w:r w:rsidR="009B39B3" w:rsidRPr="000C223B">
        <w:rPr>
          <w:rFonts w:ascii="Arial" w:hAnsi="Arial" w:cs="Arial"/>
          <w:lang w:val="en-GB"/>
        </w:rPr>
        <w:t xml:space="preserve">applies to ship ownership, ship management and ship chartering activities. Cyprus was the first ever open registry to have a </w:t>
      </w:r>
      <w:r w:rsidR="00EF1141">
        <w:rPr>
          <w:rFonts w:ascii="Arial" w:hAnsi="Arial" w:cs="Arial"/>
          <w:lang w:val="en-GB"/>
        </w:rPr>
        <w:t>t</w:t>
      </w:r>
      <w:r w:rsidR="009B39B3" w:rsidRPr="000C223B">
        <w:rPr>
          <w:rFonts w:ascii="Arial" w:hAnsi="Arial" w:cs="Arial"/>
          <w:lang w:val="en-GB"/>
        </w:rPr>
        <w:t xml:space="preserve">onnage </w:t>
      </w:r>
      <w:r w:rsidR="00EF1141">
        <w:rPr>
          <w:rFonts w:ascii="Arial" w:hAnsi="Arial" w:cs="Arial"/>
          <w:lang w:val="en-GB"/>
        </w:rPr>
        <w:t>t</w:t>
      </w:r>
      <w:r w:rsidR="009B39B3" w:rsidRPr="000C223B">
        <w:rPr>
          <w:rFonts w:ascii="Arial" w:hAnsi="Arial" w:cs="Arial"/>
          <w:lang w:val="en-GB"/>
        </w:rPr>
        <w:t xml:space="preserve">ax </w:t>
      </w:r>
      <w:r w:rsidR="00EF1141">
        <w:rPr>
          <w:rFonts w:ascii="Arial" w:hAnsi="Arial" w:cs="Arial"/>
          <w:lang w:val="en-GB"/>
        </w:rPr>
        <w:t>s</w:t>
      </w:r>
      <w:r w:rsidR="009B39B3" w:rsidRPr="000C223B">
        <w:rPr>
          <w:rFonts w:ascii="Arial" w:hAnsi="Arial" w:cs="Arial"/>
          <w:lang w:val="en-GB"/>
        </w:rPr>
        <w:t xml:space="preserve">ystem approved by the EU </w:t>
      </w:r>
      <w:r w:rsidRPr="000C223B">
        <w:rPr>
          <w:rFonts w:ascii="Arial" w:hAnsi="Arial" w:cs="Arial"/>
          <w:lang w:val="en-GB"/>
        </w:rPr>
        <w:t>and the</w:t>
      </w:r>
      <w:r w:rsidR="009B39B3" w:rsidRPr="000C223B">
        <w:rPr>
          <w:rFonts w:ascii="Arial" w:hAnsi="Arial" w:cs="Arial"/>
          <w:lang w:val="en-GB"/>
        </w:rPr>
        <w:t xml:space="preserve"> system’s prolongation </w:t>
      </w:r>
      <w:r w:rsidRPr="000C223B">
        <w:rPr>
          <w:rFonts w:ascii="Arial" w:hAnsi="Arial" w:cs="Arial"/>
          <w:lang w:val="en-GB"/>
        </w:rPr>
        <w:t>is expected to encourage ship registration in Europe.</w:t>
      </w:r>
    </w:p>
    <w:p w14:paraId="4A65EDF4" w14:textId="4D8C52D4" w:rsidR="00D16A6D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The following amendments made to the basic Law by virtue of the new Law were deemed necessary </w:t>
      </w:r>
      <w:proofErr w:type="gramStart"/>
      <w:r w:rsidRPr="000C223B">
        <w:rPr>
          <w:rFonts w:ascii="Arial" w:hAnsi="Arial" w:cs="Arial"/>
          <w:lang w:val="en-GB"/>
        </w:rPr>
        <w:t>in order to</w:t>
      </w:r>
      <w:proofErr w:type="gramEnd"/>
      <w:r w:rsidRPr="000C223B">
        <w:rPr>
          <w:rFonts w:ascii="Arial" w:hAnsi="Arial" w:cs="Arial"/>
          <w:lang w:val="en-GB"/>
        </w:rPr>
        <w:t xml:space="preserve"> conform with the European Commission’s decision:</w:t>
      </w:r>
    </w:p>
    <w:p w14:paraId="1B527D63" w14:textId="18255626" w:rsidR="00D16A6D" w:rsidRPr="000C223B" w:rsidRDefault="0066462F" w:rsidP="000C22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0C223B">
        <w:rPr>
          <w:rFonts w:ascii="Arial" w:hAnsi="Arial" w:cs="Arial"/>
          <w:b/>
          <w:bCs/>
          <w:i/>
          <w:iCs/>
          <w:lang w:val="en-GB"/>
        </w:rPr>
        <w:t>“</w:t>
      </w:r>
      <w:r w:rsidR="00D16A6D" w:rsidRPr="000C223B">
        <w:rPr>
          <w:rFonts w:ascii="Arial" w:hAnsi="Arial" w:cs="Arial"/>
          <w:b/>
          <w:bCs/>
          <w:i/>
          <w:iCs/>
          <w:lang w:val="en-GB"/>
        </w:rPr>
        <w:t>Maritime Transport</w:t>
      </w:r>
      <w:r w:rsidRPr="000C223B">
        <w:rPr>
          <w:rFonts w:ascii="Arial" w:hAnsi="Arial" w:cs="Arial"/>
          <w:b/>
          <w:bCs/>
          <w:i/>
          <w:iCs/>
          <w:lang w:val="en-GB"/>
        </w:rPr>
        <w:t>”</w:t>
      </w:r>
    </w:p>
    <w:p w14:paraId="3576CFC1" w14:textId="09A791BA" w:rsidR="00D16A6D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The definition of maritime transport in section 2 of the basic Law has been amended so as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to now include “</w:t>
      </w:r>
      <w:r w:rsidRPr="000C223B">
        <w:rPr>
          <w:rFonts w:ascii="Arial" w:hAnsi="Arial" w:cs="Arial"/>
          <w:i/>
          <w:iCs/>
          <w:lang w:val="en-GB"/>
        </w:rPr>
        <w:t>ancillary activities to maritime transport, provided that the revenues from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lastRenderedPageBreak/>
        <w:t>such activities shall not exceed fifty per cent (50%) of the total gross revenues from the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operation of each qualifying ship under tonnage tax by a qualifying owner or qualifying</w:t>
      </w:r>
    </w:p>
    <w:p w14:paraId="2A0CDDD4" w14:textId="77777777" w:rsidR="00D16A6D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i/>
          <w:iCs/>
          <w:lang w:val="en-GB"/>
        </w:rPr>
        <w:t>charterer.</w:t>
      </w:r>
      <w:r w:rsidRPr="000C223B">
        <w:rPr>
          <w:rFonts w:ascii="Arial" w:hAnsi="Arial" w:cs="Arial"/>
          <w:lang w:val="en-GB"/>
        </w:rPr>
        <w:t>”</w:t>
      </w:r>
    </w:p>
    <w:p w14:paraId="4AA6E921" w14:textId="3C9631AA" w:rsidR="00D16A6D" w:rsidRPr="000C223B" w:rsidRDefault="00D16A6D" w:rsidP="000C22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0C223B">
        <w:rPr>
          <w:rFonts w:ascii="Arial" w:hAnsi="Arial" w:cs="Arial"/>
          <w:b/>
          <w:bCs/>
          <w:i/>
          <w:iCs/>
          <w:lang w:val="en-GB"/>
        </w:rPr>
        <w:t xml:space="preserve"> “Ancillary activities”</w:t>
      </w:r>
    </w:p>
    <w:p w14:paraId="7BC6D1E0" w14:textId="77777777" w:rsidR="000C223B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proofErr w:type="gramStart"/>
      <w:r w:rsidRPr="000C223B">
        <w:rPr>
          <w:rFonts w:ascii="Arial" w:hAnsi="Arial" w:cs="Arial"/>
          <w:lang w:val="en-GB"/>
        </w:rPr>
        <w:t>In order to</w:t>
      </w:r>
      <w:proofErr w:type="gramEnd"/>
      <w:r w:rsidRPr="000C223B">
        <w:rPr>
          <w:rFonts w:ascii="Arial" w:hAnsi="Arial" w:cs="Arial"/>
          <w:lang w:val="en-GB"/>
        </w:rPr>
        <w:t xml:space="preserve"> give effect to the new definition of “maritime transport”, a new definition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“ancillary activities to maritime transport” has also been introduced by the Law of 2020.</w:t>
      </w:r>
    </w:p>
    <w:p w14:paraId="0313EA53" w14:textId="4939F409" w:rsidR="005F167A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By virtue of this amendment, ancillary activities are defined as </w:t>
      </w:r>
    </w:p>
    <w:p w14:paraId="6C78CA43" w14:textId="124533DB" w:rsidR="00D16A6D" w:rsidRPr="000C223B" w:rsidRDefault="00D16A6D" w:rsidP="00EF1141">
      <w:pPr>
        <w:spacing w:line="480" w:lineRule="auto"/>
        <w:ind w:left="426" w:right="946"/>
        <w:jc w:val="both"/>
        <w:rPr>
          <w:rFonts w:ascii="Arial" w:hAnsi="Arial" w:cs="Arial"/>
          <w:i/>
          <w:iCs/>
          <w:lang w:val="en-GB"/>
        </w:rPr>
      </w:pPr>
      <w:proofErr w:type="spellStart"/>
      <w:r w:rsidRPr="000C223B">
        <w:rPr>
          <w:rFonts w:ascii="Arial" w:hAnsi="Arial" w:cs="Arial"/>
          <w:i/>
          <w:iCs/>
          <w:lang w:val="en-GB"/>
        </w:rPr>
        <w:t>i</w:t>
      </w:r>
      <w:proofErr w:type="spellEnd"/>
      <w:r w:rsidRPr="000C223B">
        <w:rPr>
          <w:rFonts w:ascii="Arial" w:hAnsi="Arial" w:cs="Arial"/>
          <w:i/>
          <w:iCs/>
          <w:lang w:val="en-GB"/>
        </w:rPr>
        <w:t>) the activities related to a</w:t>
      </w:r>
      <w:r w:rsidR="00EF1141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qualifying ship under tonnage tax, which have a substantial connection with the core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maritime transport activities of a qualifying owner or a qualifying charterer but which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exclude commercial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activities that form part of an operation of a port carried on for profit,</w:t>
      </w:r>
    </w:p>
    <w:p w14:paraId="648F6FA2" w14:textId="77777777" w:rsidR="005F167A" w:rsidRPr="000C223B" w:rsidRDefault="00D16A6D" w:rsidP="000C223B">
      <w:pPr>
        <w:spacing w:line="480" w:lineRule="auto"/>
        <w:ind w:left="426" w:right="946"/>
        <w:jc w:val="both"/>
        <w:rPr>
          <w:rFonts w:ascii="Arial" w:hAnsi="Arial" w:cs="Arial"/>
          <w:i/>
          <w:iCs/>
          <w:lang w:val="en-GB"/>
        </w:rPr>
      </w:pPr>
      <w:r w:rsidRPr="000C223B">
        <w:rPr>
          <w:rFonts w:ascii="Arial" w:hAnsi="Arial" w:cs="Arial"/>
          <w:i/>
          <w:iCs/>
          <w:lang w:val="en-GB"/>
        </w:rPr>
        <w:t xml:space="preserve">or </w:t>
      </w:r>
    </w:p>
    <w:p w14:paraId="258E61C6" w14:textId="4F53CB58" w:rsidR="000C223B" w:rsidRPr="000C223B" w:rsidRDefault="00D16A6D" w:rsidP="000C223B">
      <w:pPr>
        <w:spacing w:line="480" w:lineRule="auto"/>
        <w:ind w:left="426" w:right="946"/>
        <w:jc w:val="both"/>
        <w:rPr>
          <w:rFonts w:ascii="Arial" w:hAnsi="Arial" w:cs="Arial"/>
          <w:i/>
          <w:iCs/>
          <w:lang w:val="en-GB"/>
        </w:rPr>
      </w:pPr>
      <w:r w:rsidRPr="000C223B">
        <w:rPr>
          <w:rFonts w:ascii="Arial" w:hAnsi="Arial" w:cs="Arial"/>
          <w:i/>
          <w:iCs/>
          <w:lang w:val="en-GB"/>
        </w:rPr>
        <w:t>(ii) where the qualifying owner or the qualifying charterer of a qualifying ship under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tonnage tax is a member of a group of companies, the activities related to such qualifying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ship’s core maritime transport activities provided by another member of that group which</w:t>
      </w:r>
      <w:r w:rsidR="000C223B" w:rsidRPr="000C223B">
        <w:rPr>
          <w:rFonts w:ascii="Arial" w:hAnsi="Arial" w:cs="Arial"/>
          <w:i/>
          <w:iCs/>
          <w:lang w:val="en-GB"/>
        </w:rPr>
        <w:t xml:space="preserve"> </w:t>
      </w:r>
      <w:r w:rsidRPr="000C223B">
        <w:rPr>
          <w:rFonts w:ascii="Arial" w:hAnsi="Arial" w:cs="Arial"/>
          <w:i/>
          <w:iCs/>
          <w:lang w:val="en-GB"/>
        </w:rPr>
        <w:t>is a tax resident of the Republic</w:t>
      </w:r>
      <w:r w:rsidRPr="000C223B">
        <w:rPr>
          <w:rFonts w:ascii="Arial" w:hAnsi="Arial" w:cs="Arial"/>
          <w:lang w:val="en-GB"/>
        </w:rPr>
        <w:t>”.</w:t>
      </w:r>
    </w:p>
    <w:p w14:paraId="16DF7AC7" w14:textId="183C30E4" w:rsidR="00D16A6D" w:rsidRPr="000C223B" w:rsidRDefault="00D16A6D" w:rsidP="00EF1141">
      <w:p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In accordance with the recent Commission decision practice with respect to this matter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and as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provided in the EU Decision, core maritime activities comprise notably transport of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goods and passengers by sea, </w:t>
      </w:r>
      <w:r w:rsidR="007A6854" w:rsidRPr="000C223B">
        <w:rPr>
          <w:rFonts w:ascii="Arial" w:hAnsi="Arial" w:cs="Arial"/>
          <w:lang w:val="en-GB"/>
        </w:rPr>
        <w:t>crew,</w:t>
      </w:r>
      <w:r w:rsidRPr="000C223B">
        <w:rPr>
          <w:rFonts w:ascii="Arial" w:hAnsi="Arial" w:cs="Arial"/>
          <w:lang w:val="en-GB"/>
        </w:rPr>
        <w:t xml:space="preserve"> and technical management of eligible vessels,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towage and dredging activity (provided at least 50% of annual operations constitute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maritime transport) and by analogy cable laying activities.</w:t>
      </w:r>
    </w:p>
    <w:p w14:paraId="3CE0D15F" w14:textId="77777777" w:rsidR="007A6854" w:rsidRPr="000C223B" w:rsidRDefault="007A6854" w:rsidP="000C223B">
      <w:pPr>
        <w:spacing w:line="480" w:lineRule="auto"/>
        <w:jc w:val="both"/>
        <w:rPr>
          <w:rFonts w:ascii="Arial" w:hAnsi="Arial" w:cs="Arial"/>
        </w:rPr>
      </w:pPr>
      <w:r w:rsidRPr="000C223B">
        <w:rPr>
          <w:rFonts w:ascii="Arial" w:hAnsi="Arial" w:cs="Arial"/>
          <w:lang w:val="en-GB"/>
        </w:rPr>
        <w:t xml:space="preserve">The </w:t>
      </w:r>
      <w:r w:rsidRPr="000C223B">
        <w:rPr>
          <w:rFonts w:ascii="Arial" w:hAnsi="Arial" w:cs="Arial"/>
        </w:rPr>
        <w:t>Notification provided under the Law, has been issued and published in the Official Gazette of the Republic No. 5255 Suppl. I(I) on 29 April 2020, namely: “</w:t>
      </w:r>
      <w:r w:rsidRPr="000C223B">
        <w:rPr>
          <w:rFonts w:ascii="Arial" w:hAnsi="Arial" w:cs="Arial"/>
          <w:i/>
          <w:iCs/>
        </w:rPr>
        <w:t>The Tonnage Tax (Ancillary Activities to Maritime Transport) Notification of 2020” (P.I 182/2020), issued by virtue of section 2 of the Law with respect to the term “ancillary activities to maritime transport</w:t>
      </w:r>
      <w:r w:rsidRPr="000C223B">
        <w:rPr>
          <w:rFonts w:ascii="Arial" w:hAnsi="Arial" w:cs="Arial"/>
        </w:rPr>
        <w:t xml:space="preserve">”. </w:t>
      </w:r>
    </w:p>
    <w:p w14:paraId="7C7DBCBE" w14:textId="51B019C4" w:rsidR="005F167A" w:rsidRDefault="007A6854" w:rsidP="000C223B">
      <w:pPr>
        <w:spacing w:line="480" w:lineRule="auto"/>
        <w:jc w:val="both"/>
        <w:rPr>
          <w:rFonts w:ascii="Arial" w:hAnsi="Arial" w:cs="Arial"/>
          <w:lang w:val="en-GB"/>
        </w:rPr>
      </w:pPr>
      <w:proofErr w:type="gramStart"/>
      <w:r w:rsidRPr="000C223B">
        <w:rPr>
          <w:rFonts w:ascii="Arial" w:hAnsi="Arial" w:cs="Arial"/>
        </w:rPr>
        <w:lastRenderedPageBreak/>
        <w:t>In essence, Notification</w:t>
      </w:r>
      <w:proofErr w:type="gramEnd"/>
      <w:r w:rsidRPr="000C223B">
        <w:rPr>
          <w:rFonts w:ascii="Arial" w:hAnsi="Arial" w:cs="Arial"/>
        </w:rPr>
        <w:t xml:space="preserve"> P.I. 182 /2020 provides a detailed list of activities which constitute “ancillary activities to maritime transport”</w:t>
      </w:r>
      <w:r w:rsidR="005F167A" w:rsidRPr="000C223B">
        <w:rPr>
          <w:rFonts w:ascii="Arial" w:hAnsi="Arial" w:cs="Arial"/>
          <w:lang w:val="en-GB"/>
        </w:rPr>
        <w:t>.</w:t>
      </w:r>
    </w:p>
    <w:p w14:paraId="6BD95C93" w14:textId="2F4F47CF" w:rsidR="00EF1141" w:rsidRPr="000C223B" w:rsidRDefault="00EF1141" w:rsidP="000C223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full text of the Notification P.I. 182/2020 translated into English language can be found here: ‘</w:t>
      </w:r>
      <w:hyperlink r:id="rId7" w:history="1">
        <w:r w:rsidRPr="00AD57CB">
          <w:rPr>
            <w:rStyle w:val="Hyperlink"/>
            <w:rFonts w:ascii="Arial" w:hAnsi="Arial" w:cs="Arial"/>
            <w:lang w:val="en-GB"/>
          </w:rPr>
          <w:t>https://www.dms.gov.cy/dms/shipping.nsf/All/5FB08FFB2E8BCACBC22585600032D67E?OpenDocument</w:t>
        </w:r>
      </w:hyperlink>
      <w:r>
        <w:rPr>
          <w:rFonts w:ascii="Arial" w:hAnsi="Arial" w:cs="Arial"/>
          <w:lang w:val="en-GB"/>
        </w:rPr>
        <w:t>’.</w:t>
      </w:r>
    </w:p>
    <w:p w14:paraId="1C053323" w14:textId="73411ABF" w:rsidR="00D16A6D" w:rsidRPr="000C223B" w:rsidRDefault="007A6854" w:rsidP="000C22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0C223B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00D16A6D" w:rsidRPr="000C223B">
        <w:rPr>
          <w:rFonts w:ascii="Arial" w:hAnsi="Arial" w:cs="Arial"/>
          <w:b/>
          <w:bCs/>
          <w:i/>
          <w:iCs/>
          <w:lang w:val="en-GB"/>
        </w:rPr>
        <w:t>“Qualifying ship”</w:t>
      </w:r>
      <w:r w:rsidR="005F167A" w:rsidRPr="000C223B">
        <w:rPr>
          <w:rFonts w:ascii="Arial" w:hAnsi="Arial" w:cs="Arial"/>
          <w:b/>
          <w:bCs/>
          <w:i/>
          <w:iCs/>
          <w:lang w:val="en-GB"/>
        </w:rPr>
        <w:t>.</w:t>
      </w:r>
    </w:p>
    <w:p w14:paraId="59B2F634" w14:textId="4BCD090F" w:rsidR="00D16A6D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The definition of qualifying ship in section 2 of the basic Law, has been amended and now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includes both a list of eligible vessels as well as a list of the vessels which are excluded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from this definition.</w:t>
      </w:r>
    </w:p>
    <w:p w14:paraId="5B63F65A" w14:textId="65065959" w:rsidR="005F167A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The vessel types which are included in the definition of “qualifying ship” in line with the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Maritime Guidelines and Commission’s case practice in this respect, include the following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vessels: </w:t>
      </w:r>
    </w:p>
    <w:p w14:paraId="60892C2B" w14:textId="38276BEB" w:rsidR="00D16A6D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vessels operating maritime transport activities, such as cargo and passenger</w:t>
      </w:r>
    </w:p>
    <w:p w14:paraId="0DF27A91" w14:textId="1A11C922" w:rsidR="005F167A" w:rsidRPr="000C223B" w:rsidRDefault="000C223B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ab/>
      </w:r>
      <w:proofErr w:type="gramStart"/>
      <w:r w:rsidR="00D16A6D" w:rsidRPr="000C223B">
        <w:rPr>
          <w:rFonts w:ascii="Arial" w:hAnsi="Arial" w:cs="Arial"/>
          <w:lang w:val="en-GB"/>
        </w:rPr>
        <w:t>ships;</w:t>
      </w:r>
      <w:proofErr w:type="gramEnd"/>
      <w:r w:rsidR="00D16A6D" w:rsidRPr="000C223B">
        <w:rPr>
          <w:rFonts w:ascii="Arial" w:hAnsi="Arial" w:cs="Arial"/>
          <w:lang w:val="en-GB"/>
        </w:rPr>
        <w:t xml:space="preserve"> </w:t>
      </w:r>
    </w:p>
    <w:p w14:paraId="0D41742C" w14:textId="232CDD05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cable-laying ships, pipe-laying </w:t>
      </w:r>
      <w:proofErr w:type="gramStart"/>
      <w:r w:rsidRPr="000C223B">
        <w:rPr>
          <w:rFonts w:ascii="Arial" w:hAnsi="Arial" w:cs="Arial"/>
          <w:lang w:val="en-GB"/>
        </w:rPr>
        <w:t>ships;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4647681C" w14:textId="39D9F435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ocean-going dredgers, ocean-going tug </w:t>
      </w:r>
      <w:proofErr w:type="gramStart"/>
      <w:r w:rsidRPr="000C223B">
        <w:rPr>
          <w:rFonts w:ascii="Arial" w:hAnsi="Arial" w:cs="Arial"/>
          <w:lang w:val="en-GB"/>
        </w:rPr>
        <w:t>boats;</w:t>
      </w:r>
      <w:proofErr w:type="gramEnd"/>
    </w:p>
    <w:p w14:paraId="78542AB7" w14:textId="48737CA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crane vessels,</w:t>
      </w:r>
      <w:r w:rsid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self-propelled </w:t>
      </w:r>
      <w:proofErr w:type="gramStart"/>
      <w:r w:rsidRPr="000C223B">
        <w:rPr>
          <w:rFonts w:ascii="Arial" w:hAnsi="Arial" w:cs="Arial"/>
          <w:lang w:val="en-GB"/>
        </w:rPr>
        <w:t>barges;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6D14B463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research </w:t>
      </w:r>
      <w:proofErr w:type="gramStart"/>
      <w:r w:rsidRPr="000C223B">
        <w:rPr>
          <w:rFonts w:ascii="Arial" w:hAnsi="Arial" w:cs="Arial"/>
          <w:lang w:val="en-GB"/>
        </w:rPr>
        <w:t>vessels;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2EBFDAB4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mobile offshore drilling units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(MODUS</w:t>
      </w:r>
      <w:proofErr w:type="gramStart"/>
      <w:r w:rsidRPr="000C223B">
        <w:rPr>
          <w:rFonts w:ascii="Arial" w:hAnsi="Arial" w:cs="Arial"/>
          <w:lang w:val="en-GB"/>
        </w:rPr>
        <w:t>);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3F236CF3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proofErr w:type="gramStart"/>
      <w:r w:rsidRPr="000C223B">
        <w:rPr>
          <w:rFonts w:ascii="Arial" w:hAnsi="Arial" w:cs="Arial"/>
          <w:lang w:val="en-GB"/>
        </w:rPr>
        <w:t>off-shore</w:t>
      </w:r>
      <w:proofErr w:type="gramEnd"/>
      <w:r w:rsidRPr="000C223B">
        <w:rPr>
          <w:rFonts w:ascii="Arial" w:hAnsi="Arial" w:cs="Arial"/>
          <w:lang w:val="en-GB"/>
        </w:rPr>
        <w:t xml:space="preserve"> support/servicing vessels engaged in petroleum and gas activities;</w:t>
      </w:r>
    </w:p>
    <w:p w14:paraId="1A8C45B6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multi-purpose break-bulk and other types of support/ servicing </w:t>
      </w:r>
      <w:proofErr w:type="gramStart"/>
      <w:r w:rsidRPr="000C223B">
        <w:rPr>
          <w:rFonts w:ascii="Arial" w:hAnsi="Arial" w:cs="Arial"/>
          <w:lang w:val="en-GB"/>
        </w:rPr>
        <w:t>vessels;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729137B4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cruise </w:t>
      </w:r>
      <w:proofErr w:type="gramStart"/>
      <w:r w:rsidRPr="000C223B">
        <w:rPr>
          <w:rFonts w:ascii="Arial" w:hAnsi="Arial" w:cs="Arial"/>
          <w:lang w:val="en-GB"/>
        </w:rPr>
        <w:t>ships;</w:t>
      </w:r>
      <w:proofErr w:type="gramEnd"/>
    </w:p>
    <w:p w14:paraId="18F3ABC4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commercial </w:t>
      </w:r>
      <w:proofErr w:type="gramStart"/>
      <w:r w:rsidRPr="000C223B">
        <w:rPr>
          <w:rFonts w:ascii="Arial" w:hAnsi="Arial" w:cs="Arial"/>
          <w:lang w:val="en-GB"/>
        </w:rPr>
        <w:t>yachts;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4BA2BB40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rescue and marine assistance </w:t>
      </w:r>
      <w:proofErr w:type="gramStart"/>
      <w:r w:rsidRPr="000C223B">
        <w:rPr>
          <w:rFonts w:ascii="Arial" w:hAnsi="Arial" w:cs="Arial"/>
          <w:lang w:val="en-GB"/>
        </w:rPr>
        <w:t>vessels;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6C0E7E09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lastRenderedPageBreak/>
        <w:t>guard vessels for maritime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security and environmental clean-up </w:t>
      </w:r>
      <w:proofErr w:type="gramStart"/>
      <w:r w:rsidRPr="000C223B">
        <w:rPr>
          <w:rFonts w:ascii="Arial" w:hAnsi="Arial" w:cs="Arial"/>
          <w:lang w:val="en-GB"/>
        </w:rPr>
        <w:t>purposes;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2BDAA8AE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vessels for raising, repairing and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dismantling </w:t>
      </w:r>
      <w:proofErr w:type="gramStart"/>
      <w:r w:rsidRPr="000C223B">
        <w:rPr>
          <w:rFonts w:ascii="Arial" w:hAnsi="Arial" w:cs="Arial"/>
          <w:lang w:val="en-GB"/>
        </w:rPr>
        <w:t>windmills;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7181A323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ice management </w:t>
      </w:r>
      <w:proofErr w:type="gramStart"/>
      <w:r w:rsidRPr="000C223B">
        <w:rPr>
          <w:rFonts w:ascii="Arial" w:hAnsi="Arial" w:cs="Arial"/>
          <w:lang w:val="en-GB"/>
        </w:rPr>
        <w:t>vessels;</w:t>
      </w:r>
      <w:proofErr w:type="gramEnd"/>
    </w:p>
    <w:p w14:paraId="1CBB178E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 accommodation vessels for housing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offshore workers at </w:t>
      </w:r>
      <w:proofErr w:type="gramStart"/>
      <w:r w:rsidRPr="000C223B">
        <w:rPr>
          <w:rFonts w:ascii="Arial" w:hAnsi="Arial" w:cs="Arial"/>
          <w:lang w:val="en-GB"/>
        </w:rPr>
        <w:t>sea;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4B0F734C" w14:textId="77777777" w:rsidR="005F167A" w:rsidRPr="000C223B" w:rsidRDefault="00D16A6D" w:rsidP="000C22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any vessel engaged in the transportation of any UN/EU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humanitarian aid or is involved in any UN or EU humanitarian relief operations. </w:t>
      </w:r>
    </w:p>
    <w:p w14:paraId="144066C3" w14:textId="77777777" w:rsidR="000C223B" w:rsidRPr="000C223B" w:rsidRDefault="00D16A6D" w:rsidP="000C223B">
      <w:p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According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to the new Law, the above-mentioned list of eligible vessels may be extended following the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prior notification approval by the European Commission.</w:t>
      </w:r>
    </w:p>
    <w:p w14:paraId="1B96730F" w14:textId="427B6E39" w:rsidR="00D16A6D" w:rsidRPr="000C223B" w:rsidRDefault="00D16A6D" w:rsidP="000C223B">
      <w:p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Conversely, the definition of “qualifying ship” expressly excludes the following vessels:</w:t>
      </w:r>
    </w:p>
    <w:p w14:paraId="7B894444" w14:textId="77777777" w:rsidR="005F167A" w:rsidRPr="000C223B" w:rsidRDefault="00D16A6D" w:rsidP="000C22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fishing and fish factory </w:t>
      </w:r>
      <w:proofErr w:type="gramStart"/>
      <w:r w:rsidRPr="000C223B">
        <w:rPr>
          <w:rFonts w:ascii="Arial" w:hAnsi="Arial" w:cs="Arial"/>
          <w:lang w:val="en-GB"/>
        </w:rPr>
        <w:t>vessels;</w:t>
      </w:r>
      <w:proofErr w:type="gramEnd"/>
      <w:r w:rsidRPr="000C223B">
        <w:rPr>
          <w:rFonts w:ascii="Arial" w:hAnsi="Arial" w:cs="Arial"/>
          <w:lang w:val="en-GB"/>
        </w:rPr>
        <w:t xml:space="preserve"> </w:t>
      </w:r>
    </w:p>
    <w:p w14:paraId="76C1BDEC" w14:textId="77777777" w:rsidR="005F167A" w:rsidRPr="000C223B" w:rsidRDefault="00D16A6D" w:rsidP="000C22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private </w:t>
      </w:r>
      <w:proofErr w:type="gramStart"/>
      <w:r w:rsidRPr="000C223B">
        <w:rPr>
          <w:rFonts w:ascii="Arial" w:hAnsi="Arial" w:cs="Arial"/>
          <w:lang w:val="en-GB"/>
        </w:rPr>
        <w:t>yachts;</w:t>
      </w:r>
      <w:proofErr w:type="gramEnd"/>
    </w:p>
    <w:p w14:paraId="7E405500" w14:textId="77777777" w:rsidR="005F167A" w:rsidRPr="000C223B" w:rsidRDefault="00D16A6D" w:rsidP="000C22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 vessels constructed and used exclusively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for inland waterway </w:t>
      </w:r>
      <w:proofErr w:type="gramStart"/>
      <w:r w:rsidRPr="000C223B">
        <w:rPr>
          <w:rFonts w:ascii="Arial" w:hAnsi="Arial" w:cs="Arial"/>
          <w:lang w:val="en-GB"/>
        </w:rPr>
        <w:t>navigation;</w:t>
      </w:r>
      <w:proofErr w:type="gramEnd"/>
    </w:p>
    <w:p w14:paraId="7BA2BDD1" w14:textId="77777777" w:rsidR="005F167A" w:rsidRPr="000C223B" w:rsidRDefault="00D16A6D" w:rsidP="000C22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 fixed </w:t>
      </w:r>
      <w:proofErr w:type="gramStart"/>
      <w:r w:rsidRPr="000C223B">
        <w:rPr>
          <w:rFonts w:ascii="Arial" w:hAnsi="Arial" w:cs="Arial"/>
          <w:lang w:val="en-GB"/>
        </w:rPr>
        <w:t>off-shore</w:t>
      </w:r>
      <w:proofErr w:type="gramEnd"/>
      <w:r w:rsidRPr="000C223B">
        <w:rPr>
          <w:rFonts w:ascii="Arial" w:hAnsi="Arial" w:cs="Arial"/>
          <w:lang w:val="en-GB"/>
        </w:rPr>
        <w:t xml:space="preserve"> installations and floating storage units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which are not used for maritime transport; non-ocean going tug boats and non-ocean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going dredgers;</w:t>
      </w:r>
    </w:p>
    <w:p w14:paraId="4B789DC9" w14:textId="77777777" w:rsidR="005F167A" w:rsidRPr="000C223B" w:rsidRDefault="00D16A6D" w:rsidP="000C22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 floating hotels or restaurants; floating or cruising </w:t>
      </w:r>
      <w:proofErr w:type="gramStart"/>
      <w:r w:rsidRPr="000C223B">
        <w:rPr>
          <w:rFonts w:ascii="Arial" w:hAnsi="Arial" w:cs="Arial"/>
          <w:lang w:val="en-GB"/>
        </w:rPr>
        <w:t>casinos;</w:t>
      </w:r>
      <w:proofErr w:type="gramEnd"/>
    </w:p>
    <w:p w14:paraId="1F7FA7FE" w14:textId="15D0DCFF" w:rsidR="00D16A6D" w:rsidRPr="000C223B" w:rsidRDefault="00D16A6D" w:rsidP="000C22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 xml:space="preserve"> non-propelled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barges and any other vessels which may be determined as non-qualifying ships, following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the prior notification approval by the European Commission.</w:t>
      </w:r>
    </w:p>
    <w:p w14:paraId="08BACD59" w14:textId="77777777" w:rsidR="005F167A" w:rsidRPr="000C223B" w:rsidRDefault="005F167A" w:rsidP="000C223B">
      <w:pPr>
        <w:pStyle w:val="ListParagraph"/>
        <w:spacing w:line="480" w:lineRule="auto"/>
        <w:ind w:left="862"/>
        <w:jc w:val="both"/>
        <w:rPr>
          <w:rFonts w:ascii="Arial" w:hAnsi="Arial" w:cs="Arial"/>
          <w:lang w:val="en-GB"/>
        </w:rPr>
      </w:pPr>
    </w:p>
    <w:p w14:paraId="7F5C7F14" w14:textId="726B3525" w:rsidR="00D16A6D" w:rsidRPr="000C223B" w:rsidRDefault="00D16A6D" w:rsidP="000C22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0C223B">
        <w:rPr>
          <w:rFonts w:ascii="Arial" w:hAnsi="Arial" w:cs="Arial"/>
          <w:b/>
          <w:bCs/>
          <w:i/>
          <w:iCs/>
          <w:lang w:val="en-GB"/>
        </w:rPr>
        <w:t xml:space="preserve"> Bareboat Charter</w:t>
      </w:r>
    </w:p>
    <w:p w14:paraId="0F417AAC" w14:textId="407E6CF9" w:rsidR="00D16A6D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In order to give effect to the recent decision practice of the European Commission, section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6 of the basic Law has been amended so that an owner of a ship which is bareboat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chartered out shall be deemed to be a qualifying owner, if the ship is bareboat chartered to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a charterer forming part of the same group as the owner (intra-group transaction). In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other words, with the introduction of this amendment, intra-group transactions are eligible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for tonnage tax without restrictions.</w:t>
      </w:r>
    </w:p>
    <w:p w14:paraId="3A66C2ED" w14:textId="689FF92B" w:rsidR="00D16A6D" w:rsidRPr="000C223B" w:rsidRDefault="00D16A6D" w:rsidP="000C223B">
      <w:pPr>
        <w:spacing w:line="480" w:lineRule="auto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lastRenderedPageBreak/>
        <w:t>As of 1st January 2020, non-intra group bareboat charter agreements will be eligible for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tonnage tax </w:t>
      </w:r>
      <w:proofErr w:type="gramStart"/>
      <w:r w:rsidRPr="000C223B">
        <w:rPr>
          <w:rFonts w:ascii="Arial" w:hAnsi="Arial" w:cs="Arial"/>
          <w:lang w:val="en-GB"/>
        </w:rPr>
        <w:t>provided that</w:t>
      </w:r>
      <w:proofErr w:type="gramEnd"/>
      <w:r w:rsidRPr="000C223B">
        <w:rPr>
          <w:rFonts w:ascii="Arial" w:hAnsi="Arial" w:cs="Arial"/>
          <w:lang w:val="en-GB"/>
        </w:rPr>
        <w:t xml:space="preserve"> they meet the following conditions included in section 6 of the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new Law:</w:t>
      </w:r>
    </w:p>
    <w:p w14:paraId="1EEC0A33" w14:textId="57029168" w:rsidR="00D16A6D" w:rsidRPr="000C223B" w:rsidRDefault="00D16A6D" w:rsidP="000C223B">
      <w:pPr>
        <w:spacing w:line="480" w:lineRule="auto"/>
        <w:ind w:left="567" w:right="946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(1) the owner demonstrates that the ship was bareboat chartered out due to short-term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over-capacity and the term of the charter does not exceed three years,</w:t>
      </w:r>
    </w:p>
    <w:p w14:paraId="6BC02D72" w14:textId="5948128D" w:rsidR="005F167A" w:rsidRPr="000C223B" w:rsidRDefault="00D16A6D" w:rsidP="000C223B">
      <w:pPr>
        <w:spacing w:line="480" w:lineRule="auto"/>
        <w:ind w:left="567" w:right="946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(2) the temporary excess capacity must be related to the beneficiary’s own shipping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services, i.e. excess capacity specifically acquired (bought or chartered) </w:t>
      </w:r>
      <w:r w:rsidR="000C223B" w:rsidRPr="000C223B">
        <w:rPr>
          <w:rFonts w:ascii="Arial" w:hAnsi="Arial" w:cs="Arial"/>
          <w:lang w:val="en-GB"/>
        </w:rPr>
        <w:t>for chartering</w:t>
      </w:r>
      <w:r w:rsidRPr="000C223B">
        <w:rPr>
          <w:rFonts w:ascii="Arial" w:hAnsi="Arial" w:cs="Arial"/>
          <w:lang w:val="en-GB"/>
        </w:rPr>
        <w:t>-out purposes is ineligible for tonnage taxation, and</w:t>
      </w:r>
      <w:r w:rsidR="005F167A" w:rsidRPr="000C223B">
        <w:rPr>
          <w:rFonts w:ascii="Arial" w:hAnsi="Arial" w:cs="Arial"/>
          <w:lang w:val="en-GB"/>
        </w:rPr>
        <w:t xml:space="preserve"> </w:t>
      </w:r>
    </w:p>
    <w:p w14:paraId="495B766A" w14:textId="2A6C5293" w:rsidR="00D16A6D" w:rsidRPr="000C223B" w:rsidRDefault="00D16A6D" w:rsidP="000C223B">
      <w:pPr>
        <w:spacing w:line="480" w:lineRule="auto"/>
        <w:ind w:left="567" w:right="946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(3) at least 50% of the tonnage tax fleet must still be operated by the tonnage tax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beneficiary.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The above conditions will not apply to existing bareboat charter agreements until their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date of expiration or until 31 December 2022, whichever takes place earlier.</w:t>
      </w:r>
    </w:p>
    <w:p w14:paraId="54DAA416" w14:textId="18A1B93B" w:rsidR="00D16A6D" w:rsidRPr="000C223B" w:rsidRDefault="00D16A6D" w:rsidP="000C22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lang w:val="en-GB"/>
        </w:rPr>
      </w:pPr>
      <w:r w:rsidRPr="000C223B">
        <w:rPr>
          <w:rFonts w:ascii="Arial" w:hAnsi="Arial" w:cs="Arial"/>
          <w:b/>
          <w:bCs/>
          <w:lang w:val="en-GB"/>
        </w:rPr>
        <w:t xml:space="preserve"> Reduction of Tonnage Tax</w:t>
      </w:r>
    </w:p>
    <w:p w14:paraId="2F5AFF05" w14:textId="1DF3B793" w:rsidR="00D16A6D" w:rsidRPr="000C223B" w:rsidRDefault="00D16A6D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Under the Law of 2020, a reduction of up to 30% of the tonnage tax is possible in the case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of a Cyprus ship (section 9 of the new Law) or EU/EEA ship (section 13 of the new Law)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using mechanisms for the environmental preservation of the marine environment and the</w:t>
      </w:r>
      <w:r w:rsidR="000C223B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reduction of the effects of climate change.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The eligibility criteria for such reduction as well as the level of reduction may be set by a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relevant Order of the Council of Ministers published in the Official Gazette of the Republic.</w:t>
      </w:r>
    </w:p>
    <w:p w14:paraId="50F61DB6" w14:textId="60D7DE5F" w:rsidR="00D16A6D" w:rsidRPr="000C223B" w:rsidRDefault="00D16A6D" w:rsidP="000C22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i/>
          <w:iCs/>
          <w:lang w:val="en-GB"/>
        </w:rPr>
      </w:pPr>
      <w:r w:rsidRPr="000C223B">
        <w:rPr>
          <w:rFonts w:ascii="Arial" w:hAnsi="Arial" w:cs="Arial"/>
          <w:b/>
          <w:bCs/>
          <w:i/>
          <w:iCs/>
          <w:lang w:val="en-GB"/>
        </w:rPr>
        <w:t xml:space="preserve"> Tax Exemptions for Seafarers</w:t>
      </w:r>
    </w:p>
    <w:p w14:paraId="6A8A9C12" w14:textId="0AE0F83A" w:rsidR="00D16A6D" w:rsidRDefault="00D16A6D" w:rsidP="00765912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  <w:r w:rsidRPr="000C223B">
        <w:rPr>
          <w:rFonts w:ascii="Arial" w:hAnsi="Arial" w:cs="Arial"/>
          <w:lang w:val="en-GB"/>
        </w:rPr>
        <w:t>In accordance with the EU decision, the tax benefits existing for seafarers have been</w:t>
      </w:r>
      <w:r w:rsidR="00765912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extended to seafarers of Community ships.</w:t>
      </w:r>
      <w:r w:rsidR="005F167A" w:rsidRPr="000C223B">
        <w:rPr>
          <w:rFonts w:ascii="Arial" w:hAnsi="Arial" w:cs="Arial"/>
          <w:lang w:val="en-GB"/>
        </w:rPr>
        <w:t xml:space="preserve">  </w:t>
      </w:r>
      <w:r w:rsidRPr="000C223B">
        <w:rPr>
          <w:rFonts w:ascii="Arial" w:hAnsi="Arial" w:cs="Arial"/>
          <w:lang w:val="en-GB"/>
        </w:rPr>
        <w:t>More specifically, under section 55 of the new Law the tax exemptions apply to seafarers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who are liable to income tax in Cyprus and are employed on board a Community ship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 xml:space="preserve">which is a qualifying ship engaged in a qualifying </w:t>
      </w:r>
      <w:r w:rsidRPr="000C223B">
        <w:rPr>
          <w:rFonts w:ascii="Arial" w:hAnsi="Arial" w:cs="Arial"/>
          <w:lang w:val="en-GB"/>
        </w:rPr>
        <w:lastRenderedPageBreak/>
        <w:t>shipping activity.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Where the vessels provide scheduled passenger services between ports of the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Community, only seafarers who are citizens of the EU/EEA are eligible to benefit from the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scheme. In all other cases, the exemptions apply to all seafarers (citizens of a Member</w:t>
      </w:r>
      <w:r w:rsidR="005F167A" w:rsidRPr="000C223B">
        <w:rPr>
          <w:rFonts w:ascii="Arial" w:hAnsi="Arial" w:cs="Arial"/>
          <w:lang w:val="en-GB"/>
        </w:rPr>
        <w:t xml:space="preserve"> </w:t>
      </w:r>
      <w:r w:rsidRPr="000C223B">
        <w:rPr>
          <w:rFonts w:ascii="Arial" w:hAnsi="Arial" w:cs="Arial"/>
          <w:lang w:val="en-GB"/>
        </w:rPr>
        <w:t>State or a non-Member State).</w:t>
      </w:r>
      <w:r w:rsidRPr="000C223B">
        <w:rPr>
          <w:rFonts w:ascii="Arial" w:hAnsi="Arial" w:cs="Arial"/>
          <w:lang w:val="en-GB"/>
        </w:rPr>
        <w:cr/>
      </w:r>
      <w:r w:rsidR="00655B5A">
        <w:rPr>
          <w:rFonts w:ascii="Arial" w:hAnsi="Arial" w:cs="Arial"/>
          <w:lang w:val="en-GB"/>
        </w:rPr>
        <w:t xml:space="preserve">BY </w:t>
      </w:r>
      <w:r w:rsidR="000C223B">
        <w:rPr>
          <w:rFonts w:ascii="Arial" w:hAnsi="Arial" w:cs="Arial"/>
          <w:lang w:val="en-GB"/>
        </w:rPr>
        <w:t xml:space="preserve">VASILIKI MALTA </w:t>
      </w:r>
    </w:p>
    <w:p w14:paraId="7E24BAC1" w14:textId="2DFBC55D" w:rsidR="000C223B" w:rsidRPr="000C223B" w:rsidRDefault="000C223B" w:rsidP="000C223B">
      <w:pPr>
        <w:spacing w:line="480" w:lineRule="auto"/>
        <w:ind w:left="142"/>
        <w:jc w:val="both"/>
        <w:rPr>
          <w:rFonts w:ascii="Arial" w:hAnsi="Arial" w:cs="Arial"/>
          <w:lang w:val="en-GB"/>
        </w:rPr>
      </w:pPr>
    </w:p>
    <w:sectPr w:rsidR="000C223B" w:rsidRPr="000C223B" w:rsidSect="00132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42003" w14:textId="77777777" w:rsidR="00782808" w:rsidRDefault="00782808" w:rsidP="00C67BA0">
      <w:pPr>
        <w:spacing w:after="0" w:line="240" w:lineRule="auto"/>
      </w:pPr>
      <w:r>
        <w:separator/>
      </w:r>
    </w:p>
  </w:endnote>
  <w:endnote w:type="continuationSeparator" w:id="0">
    <w:p w14:paraId="57C12CB2" w14:textId="77777777" w:rsidR="00782808" w:rsidRDefault="00782808" w:rsidP="00C6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BCD54" w14:textId="77777777" w:rsidR="00C67BA0" w:rsidRDefault="00C67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068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39071" w14:textId="2D923E55" w:rsidR="00C67BA0" w:rsidRDefault="00C67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B5C01" w14:textId="77777777" w:rsidR="00C67BA0" w:rsidRDefault="00C67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DE052" w14:textId="77777777" w:rsidR="00C67BA0" w:rsidRDefault="00C6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49A7F" w14:textId="77777777" w:rsidR="00782808" w:rsidRDefault="00782808" w:rsidP="00C67BA0">
      <w:pPr>
        <w:spacing w:after="0" w:line="240" w:lineRule="auto"/>
      </w:pPr>
      <w:r>
        <w:separator/>
      </w:r>
    </w:p>
  </w:footnote>
  <w:footnote w:type="continuationSeparator" w:id="0">
    <w:p w14:paraId="658099B1" w14:textId="77777777" w:rsidR="00782808" w:rsidRDefault="00782808" w:rsidP="00C6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AA921" w14:textId="77777777" w:rsidR="00C67BA0" w:rsidRDefault="00C67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9E06" w14:textId="77777777" w:rsidR="00C67BA0" w:rsidRDefault="00C67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5BC83" w14:textId="77777777" w:rsidR="00C67BA0" w:rsidRDefault="00C67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E787A"/>
    <w:multiLevelType w:val="hybridMultilevel"/>
    <w:tmpl w:val="54A825BA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B9B3534"/>
    <w:multiLevelType w:val="hybridMultilevel"/>
    <w:tmpl w:val="6908CE76"/>
    <w:lvl w:ilvl="0" w:tplc="E83ABBC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530AD6"/>
    <w:multiLevelType w:val="hybridMultilevel"/>
    <w:tmpl w:val="561AB96E"/>
    <w:lvl w:ilvl="0" w:tplc="2F7AC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6D8"/>
    <w:multiLevelType w:val="hybridMultilevel"/>
    <w:tmpl w:val="FF002768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4A"/>
    <w:rsid w:val="000C223B"/>
    <w:rsid w:val="00132F4A"/>
    <w:rsid w:val="00257438"/>
    <w:rsid w:val="002D0E74"/>
    <w:rsid w:val="00345410"/>
    <w:rsid w:val="005F167A"/>
    <w:rsid w:val="00655B5A"/>
    <w:rsid w:val="0066462F"/>
    <w:rsid w:val="00765912"/>
    <w:rsid w:val="00782808"/>
    <w:rsid w:val="007A6854"/>
    <w:rsid w:val="009B39B3"/>
    <w:rsid w:val="00BA7D56"/>
    <w:rsid w:val="00C67BA0"/>
    <w:rsid w:val="00D16A6D"/>
    <w:rsid w:val="00E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9FE2"/>
  <w15:chartTrackingRefBased/>
  <w15:docId w15:val="{29C949CB-B07A-493A-8CAA-67E102C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1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1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BA0"/>
  </w:style>
  <w:style w:type="paragraph" w:styleId="Footer">
    <w:name w:val="footer"/>
    <w:basedOn w:val="Normal"/>
    <w:link w:val="FooterChar"/>
    <w:uiPriority w:val="99"/>
    <w:unhideWhenUsed/>
    <w:rsid w:val="00C67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ms.gov.cy/dms/shipping.nsf/All/5FB08FFB2E8BCACBC22585600032D67E?OpenDocu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Malta</dc:creator>
  <cp:keywords/>
  <dc:description/>
  <cp:lastModifiedBy>Vasiliki Malta</cp:lastModifiedBy>
  <cp:revision>5</cp:revision>
  <cp:lastPrinted>2020-05-14T08:59:00Z</cp:lastPrinted>
  <dcterms:created xsi:type="dcterms:W3CDTF">2020-05-14T07:06:00Z</dcterms:created>
  <dcterms:modified xsi:type="dcterms:W3CDTF">2020-05-14T09:37:00Z</dcterms:modified>
</cp:coreProperties>
</file>